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Calibri" w:hAnsi="Calibri" w:eastAsia="Calibri" w:cs="Calibri"/>
          <w:b/>
          <w:sz w:val="28"/>
          <w:szCs w:val="28"/>
        </w:rPr>
      </w:pPr>
      <w:r>
        <w:rPr>
          <w:rFonts w:ascii="Calibri" w:hAnsi="Calibri" w:eastAsia="Calibri" w:cs="Calibri"/>
          <w:b/>
          <w:sz w:val="28"/>
          <w:szCs w:val="28"/>
        </w:rPr>
        <w:t xml:space="preserve">Protocollo per l’adattamento dei libri di testo - Livello 2 - adattamento ad una </w:t>
      </w:r>
      <w:r>
        <w:rPr>
          <w:rFonts w:ascii="Calibri" w:hAnsi="Calibri" w:eastAsia="Calibri" w:cs="Calibri"/>
          <w:b/>
          <w:i/>
          <w:sz w:val="28"/>
          <w:szCs w:val="28"/>
        </w:rPr>
        <w:t>mediocre</w:t>
      </w:r>
      <w:r>
        <w:rPr>
          <w:rFonts w:ascii="Calibri" w:hAnsi="Calibri" w:eastAsia="Calibri" w:cs="Calibri"/>
          <w:b/>
          <w:sz w:val="28"/>
          <w:szCs w:val="28"/>
        </w:rPr>
        <w:t xml:space="preserve"> competenza linguistica</w:t>
      </w:r>
    </w:p>
    <w:p>
      <w:pPr>
        <w:numPr>
          <w:ilvl w:val="0"/>
          <w:numId w:val="1"/>
        </w:numPr>
        <w:ind w:left="283" w:hanging="283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 xml:space="preserve"> Il lessico è costituito prevalentemente (80-90%) da parole appartenenti al repertorio fondamentale e al repertorio di alto uso del </w:t>
      </w:r>
      <w:hyperlink r:id="rId8" w:history="1">
        <w:r>
          <w:rPr>
            <w:rStyle w:val="char1"/>
            <w:rFonts w:ascii="Calibri" w:hAnsi="Calibri" w:eastAsia="Calibri" w:cs="Calibri"/>
            <w:sz w:val="24"/>
            <w:szCs w:val="24"/>
          </w:rPr>
          <w:t>Vocabolario di Base</w:t>
        </w:r>
      </w:hyperlink>
      <w:r>
        <w:rPr>
          <w:rFonts w:ascii="Calibri" w:hAnsi="Calibri" w:eastAsia="Calibri" w:cs="Calibri"/>
          <w:sz w:val="24"/>
          <w:szCs w:val="24"/>
        </w:rPr>
        <w:t>.</w:t>
      </w:r>
    </w:p>
    <w:p>
      <w:pPr>
        <w:numPr>
          <w:ilvl w:val="0"/>
          <w:numId w:val="1"/>
        </w:numPr>
        <w:ind w:left="283" w:hanging="283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 xml:space="preserve">Parziale annullamento dell'espediente stilistico della </w:t>
      </w:r>
      <w:r>
        <w:rPr>
          <w:rFonts w:ascii="Calibri" w:hAnsi="Calibri" w:eastAsia="Calibri" w:cs="Calibri"/>
          <w:i/>
          <w:sz w:val="24"/>
          <w:szCs w:val="24"/>
        </w:rPr>
        <w:t>variatio</w:t>
      </w:r>
      <w:r>
        <w:rPr>
          <w:rFonts w:ascii="Calibri" w:hAnsi="Calibri" w:eastAsia="Calibri" w:cs="Calibri"/>
          <w:sz w:val="24"/>
          <w:szCs w:val="24"/>
        </w:rPr>
        <w:t xml:space="preserve"> e dell'uso pleonastico di aggettivi e avverbi.</w:t>
      </w:r>
    </w:p>
    <w:p>
      <w:pPr>
        <w:numPr>
          <w:ilvl w:val="0"/>
          <w:numId w:val="1"/>
        </w:numPr>
        <w:ind w:left="283" w:hanging="283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Le frasi contengono meno di 20 parole e sono organizzate sul versante sintattico da frasi nucleari complete ampliate da modificatorie avverbiali; frasi binucleari coordinate di azioni congiuntive e disgiuntive; frasi binucleari subordinate causali e temporali (esplicite con verbo di modo finito) e finali (implicite con verbo di modo indefinito).</w:t>
      </w:r>
    </w:p>
    <w:p>
      <w:pPr>
        <w:numPr>
          <w:ilvl w:val="0"/>
          <w:numId w:val="1"/>
        </w:numPr>
        <w:ind w:left="283" w:hanging="283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Esplicitazione incostante del soggetto che svolge l'azione.</w:t>
      </w:r>
    </w:p>
    <w:p>
      <w:pPr>
        <w:numPr>
          <w:ilvl w:val="0"/>
          <w:numId w:val="1"/>
        </w:numPr>
        <w:ind w:left="283" w:hanging="283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 Introduzione di forme passive.</w:t>
      </w:r>
    </w:p>
    <w:p>
      <w:pPr>
        <w:numPr>
          <w:ilvl w:val="0"/>
          <w:numId w:val="1"/>
        </w:numPr>
        <w:ind w:left="283" w:hanging="283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Mantenimento di livelli medi di coesione e di coerenza del testo; conservando in modo parziale l'identità di referenza del testo; l'ordine logico e gerarchico delle sequenze; l'aderenza alla grammatica delle storie e l'esplicitazione dell'obiettivo e della motivazione del testo.</w:t>
      </w:r>
    </w:p>
    <w:p>
      <w:pPr>
        <w:numPr>
          <w:ilvl w:val="0"/>
          <w:numId w:val="1"/>
        </w:numPr>
        <w:ind w:left="283" w:hanging="283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Controllo dei riferimenti enciclopedici e riduzione dei processi inferenziali richiesti per la comprensione del testo.</w:t>
      </w:r>
    </w:p>
    <w:p>
      <w:pPr>
        <w:numPr>
          <w:ilvl w:val="0"/>
          <w:numId w:val="1"/>
        </w:numPr>
        <w:ind w:left="283" w:hanging="283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 xml:space="preserve">La veste grafica prevede un corpo tipografico di moderata dimensione; un numero di parole per pagina compreso tra 150 e 200; paragrafi di moderata lunghezza e pagine più ricche di testo rispetto al </w:t>
      </w:r>
      <w:hyperlink r:id="rId9" w:history="1">
        <w:r>
          <w:rPr>
            <w:rStyle w:val="char1"/>
            <w:rFonts w:ascii="Calibri" w:hAnsi="Calibri" w:eastAsia="Calibri" w:cs="Calibri"/>
            <w:sz w:val="24"/>
            <w:szCs w:val="24"/>
          </w:rPr>
          <w:t>livello 1</w:t>
        </w:r>
      </w:hyperlink>
      <w:r>
        <w:rPr>
          <w:rFonts w:ascii="Calibri" w:hAnsi="Calibri" w:eastAsia="Calibri" w:cs="Calibri"/>
          <w:sz w:val="24"/>
          <w:szCs w:val="24"/>
        </w:rPr>
        <w:t xml:space="preserve"> (Iniziale).</w:t>
      </w:r>
    </w:p>
    <w:p>
      <w:pPr>
        <w:numPr>
          <w:ilvl w:val="0"/>
          <w:numId w:val="1"/>
        </w:numPr>
        <w:ind w:left="283" w:hanging="283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Il testo può essere accompagnato da immagini più schematiche anche in bianco e nero</w:t>
      </w:r>
    </w:p>
    <w:p>
      <w:pPr>
        <w:numPr>
          <w:ilvl w:val="0"/>
          <w:numId w:val="0"/>
        </w:numPr>
        <w:ind w:left="283" w:firstLine="0"/>
      </w:pPr>
      <w:r/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continuous"/>
      <w:pgSz w:h="16839" w:w="11907"/>
      <w:pgMar w:left="1134" w:top="1134" w:right="1134" w:bottom="1134"/>
      <w:paperSrc w:first="0" w:other="0" a="0" b="0"/>
      <w:pgNumType w:fmt="decimal"/>
      <w:tmGutter w:val="1"/>
      <w:mirrorMargins w:val="0"/>
      <w:tmSection w:h="-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00"/>
    <w:family w:val="swiss"/>
    <w:pitch w:val="default"/>
  </w:font>
  <w:font w:name="Calibri">
    <w:panose1 w:val="020F0502020204030204"/>
    <w:charset w:val="00"/>
    <w:family w:val="swiss"/>
    <w:pitch w:val="default"/>
  </w:font>
  <w:font w:name="Wingdings">
    <w:panose1 w:val="05000000000000000000"/>
    <w:charset w:val="02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singleLevel"/>
    <w:name w:val="Bullet 1"/>
    <w:lvl w:ilvl="0">
      <w:numFmt w:val="bullet"/>
      <w:lvlText w:val=""/>
      <w:lvlJc w:val="left"/>
      <w:pPr>
        <w:tabs>
          <w:tab w:val="num" w:pos="283"/>
        </w:tabs>
        <w:ind w:left="283" w:hanging="283"/>
      </w:pPr>
      <w:rPr>
        <w:rFonts w:ascii="Wingdings" w:hAnsi="Wingdings" w:eastAsia="Wingdings" w:cs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1"/>
  <w:doNotShadeFormData w:val="1"/>
  <w:captions>
    <w:caption w:name="Tabella" w:pos="below" w:numFmt="decimal"/>
    <w:caption w:name="Figura" w:pos="below" w:numFmt="decimal"/>
    <w:caption w:name="Immagine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doNotUseHTMLParagraphAutoSpacing w:val="1"/>
  </w:compat>
  <w:compatSetting w:name="compatibilityMode" w:uri="http://schemas.microsoft.com/office/word" w:val="15"/>
  <w:shapeDefaults>
    <o:shapedefaults v:ext="edit" spidmax="1026"/>
    <o:shapelayout v:ext="edit">
      <o:rules v:ext="edit"/>
    </o:shapelayout>
  </w:shapeDefaults>
  <w:tmPrefOne w:val="16"/>
  <w:tmPrefTwo w:val="1"/>
  <w:tmFmtPref w:val="54538251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1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0"/>
  </w:tmReviewPr>
  <w:tmLastPos>
    <w:tmLastPosPage w:val="0"/>
    <w:tmLastPosSelect w:val="1"/>
    <w:tmLastPosFrameIdx w:val="0"/>
    <w:tmLastPosCaret>
      <w:tmLastPosPgfIdx w:val="0"/>
      <w:tmLastPosIdx w:val="0"/>
    </w:tmLastPosCaret>
    <w:tmLastPosAnchor>
      <w:tmLastPosPgfIdx w:val="0"/>
      <w:tmLastPosIdx w:val="112"/>
    </w:tmLastPosAnchor>
    <w:tmLastPosTblRect w:left="0" w:top="0" w:right="0" w:bottom="0"/>
  </w:tmLastPos>
  <w:tmAppRevision w:date="1592055378" w:val="976" w:fileVer="342" w:fileVerOS="4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Times New Roman"/>
        <w:kern w:val="1"/>
        <w:sz w:val="20"/>
        <w:szCs w:val="20"/>
        <w:lang w:val="it-it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character" w:styleId="char0" w:default="1">
    <w:name w:val="Default Paragraph Font"/>
  </w:style>
  <w:style w:type="character" w:styleId="char1">
    <w:name w:val="Hyperlink"/>
    <w:rPr>
      <w:color w:val="0000ff"/>
      <w:u w:color="auto" w:val="single"/>
    </w:rPr>
  </w:style>
  <w:style w:type="table" w:default="1" w:styleId="TableNormal">
    <w:name w:val="Tabella norma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SimSun" w:cs="Times New Roman"/>
        <w:kern w:val="1"/>
        <w:sz w:val="20"/>
        <w:szCs w:val="20"/>
        <w:lang w:val="it-it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character" w:styleId="char0" w:default="1">
    <w:name w:val="Default Paragraph Font"/>
  </w:style>
  <w:style w:type="character" w:styleId="char1">
    <w:name w:val="Hyperlink"/>
    <w:rPr>
      <w:color w:val="0000ff"/>
      <w:u w:color="auto" w:val="single"/>
    </w:rPr>
  </w:style>
  <w:style w:type="table" w:default="1" w:styleId="TableNormal">
    <w:name w:val="Tabella norma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hyperlink" Target="http://www.noiosito.it/sostegno/vocabolari.zip" TargetMode="External"/><Relationship Id="rId9" Type="http://schemas.openxmlformats.org/officeDocument/2006/relationships/hyperlink" Target="http://www.noiosito.it/protocollo1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rev.976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Marco Guastavigna</cp:lastModifiedBy>
  <cp:revision>1</cp:revision>
  <dcterms:created xsi:type="dcterms:W3CDTF">2020-06-13T13:35:34Z</dcterms:created>
  <dcterms:modified xsi:type="dcterms:W3CDTF">2020-06-13T13:36:18Z</dcterms:modified>
</cp:coreProperties>
</file>